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4DB70504"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26018E" w:rsidRPr="0026018E">
        <w:rPr>
          <w:rFonts w:ascii="Arial" w:hAnsi="Arial" w:cs="Arial"/>
          <w:b/>
          <w:color w:val="002060"/>
          <w:lang w:val="en-GB"/>
        </w:rPr>
        <w:t>Supporting Analysis of the NIS Market</w:t>
      </w:r>
      <w:r w:rsidRPr="007B0DD9">
        <w:rPr>
          <w:rFonts w:ascii="Arial" w:hAnsi="Arial" w:cs="Arial"/>
          <w:b/>
          <w:color w:val="002060"/>
          <w:lang w:val="en-GB"/>
        </w:rPr>
        <w:t>”</w:t>
      </w:r>
    </w:p>
    <w:p w14:paraId="6AF216D9" w14:textId="4B8F277B"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E201E5">
        <w:rPr>
          <w:rFonts w:ascii="Arial" w:hAnsi="Arial" w:cs="Arial"/>
          <w:b/>
          <w:color w:val="002060"/>
          <w:lang w:val="en-GB"/>
        </w:rPr>
        <w:t>-20</w:t>
      </w:r>
      <w:r w:rsidR="00C42BE8">
        <w:rPr>
          <w:rFonts w:ascii="Arial" w:hAnsi="Arial" w:cs="Arial"/>
          <w:b/>
          <w:color w:val="002060"/>
          <w:lang w:val="en-GB"/>
        </w:rPr>
        <w:t>-T</w:t>
      </w:r>
      <w:r w:rsidR="0026018E">
        <w:rPr>
          <w:rFonts w:ascii="Arial" w:hAnsi="Arial" w:cs="Arial"/>
          <w:b/>
          <w:color w:val="002060"/>
          <w:lang w:val="en-GB"/>
        </w:rPr>
        <w:t>23</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38631BA9"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26018E" w:rsidRPr="0026018E">
        <w:rPr>
          <w:rFonts w:ascii="Arial" w:hAnsi="Arial" w:cs="Arial"/>
          <w:b/>
          <w:color w:val="002060"/>
          <w:lang w:val="en-GB"/>
        </w:rPr>
        <w:t>Supporting Analysis of the NIS Market</w:t>
      </w:r>
      <w:r w:rsidRPr="007B0DD9">
        <w:rPr>
          <w:rFonts w:ascii="Arial" w:hAnsi="Arial" w:cs="Arial"/>
          <w:b/>
          <w:color w:val="002060"/>
          <w:lang w:val="en-GB"/>
        </w:rPr>
        <w:t>”</w:t>
      </w:r>
    </w:p>
    <w:p w14:paraId="7A52FF22" w14:textId="539BCAF2"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8728B">
        <w:rPr>
          <w:rFonts w:ascii="Arial" w:hAnsi="Arial" w:cs="Arial"/>
          <w:b/>
          <w:color w:val="002060"/>
          <w:lang w:val="en-GB"/>
        </w:rPr>
        <w:t>-20</w:t>
      </w:r>
      <w:r w:rsidR="00476B44">
        <w:rPr>
          <w:rFonts w:ascii="Arial" w:hAnsi="Arial" w:cs="Arial"/>
          <w:b/>
          <w:color w:val="002060"/>
          <w:lang w:val="en-GB"/>
        </w:rPr>
        <w:t>-T</w:t>
      </w:r>
      <w:r w:rsidR="0026018E">
        <w:rPr>
          <w:rFonts w:ascii="Arial" w:hAnsi="Arial" w:cs="Arial"/>
          <w:b/>
          <w:color w:val="002060"/>
          <w:lang w:val="en-GB"/>
        </w:rPr>
        <w:t>23</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w:t>
      </w:r>
      <w:bookmarkStart w:id="7" w:name="_GoBack"/>
      <w:bookmarkEnd w:id="7"/>
      <w:r w:rsidRPr="00E909AA">
        <w:rPr>
          <w:rFonts w:ascii="Arial" w:hAnsi="Arial" w:cs="Arial"/>
          <w:b/>
          <w:bCs/>
          <w:sz w:val="22"/>
          <w:szCs w:val="22"/>
          <w:lang w:val="en-GB" w:eastAsia="en-GB"/>
        </w:rPr>
        <w:t>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934B54-DF97-4726-B7AE-CF229A814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6419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2015-11-13T10:47:00Z</cp:lastPrinted>
  <dcterms:created xsi:type="dcterms:W3CDTF">2015-12-16T12:45:00Z</dcterms:created>
  <dcterms:modified xsi:type="dcterms:W3CDTF">2020-06-26T07:47:00Z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